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rPr>
          <w:b/>
          <w:sz w:val="72"/>
          <w:szCs w:val="72"/>
          <w:rtl w:val="0"/>
        </w:rPr>
        <w:t xml:space="preserve"> FICHE ACTION VNE N°11</w:t>
        <w:br/>
      </w:r>
      <w:r>
        <w:rPr>
          <w:b/>
          <w:sz w:val="10"/>
          <w:szCs w:val="10"/>
        </w:rPr>
      </w:r>
      <w:r>
        <w:rPr>
          <w:b/>
          <w:sz w:val="10"/>
          <w:szCs w:val="10"/>
        </w:rPr>
      </w:r>
    </w:p>
    <w:tbl>
      <w:tblPr>
        <w:tblStyle w:val="909"/>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5400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a:blip r:embed="rId10"/>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42.52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b497d6"/>
              </w:rPr>
            </w:pPr>
            <w:r>
              <w:rPr>
                <w:shd w:val="clear" w:color="auto" w:fill="b497d6"/>
                <w:rtl w:val="0"/>
              </w:rPr>
              <w:t xml:space="preserve">AXE IV</w:t>
            </w:r>
            <w:r>
              <w:rPr>
                <w:shd w:val="clear" w:color="auto" w:fill="b497d6"/>
              </w:rPr>
            </w:r>
            <w:r>
              <w:rPr>
                <w:shd w:val="clear" w:color="auto" w:fill="b497d6"/>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Validée</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Mettre en place une mesure d’impact des actions d’inclusion numérique</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CAF</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HETIS : Prestataire</w:t>
            </w:r>
            <w:r/>
          </w:p>
          <w:p>
            <w:pPr>
              <w:pBdr/>
              <w:spacing/>
              <w:ind/>
              <w:rPr/>
            </w:pPr>
            <w:r>
              <w:rPr>
                <w:rtl w:val="0"/>
              </w:rPr>
              <w:t xml:space="preserve">ANCT : Financeur dans le cadre de FNE</w:t>
            </w: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Préfectur ; CD83 ; associations de l’AAP CAF</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La CAF est le récipiendaire d’un</w:t>
            </w:r>
            <w:r>
              <w:rPr>
                <w:rtl w:val="0"/>
              </w:rPr>
              <w:t xml:space="preserve">e subvention FNE dans le cadre du développement d’outils de diagnostic et de bilan harmonisés destinés aux associations subventionnées dans l’appel à projet CAF inclusion numérique. Ces outils, développés par HETIS, s’appuient notamment sur l’outil Sphinx.</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pBdr/>
              <w:spacing w:after="0" w:before="0" w:line="240" w:lineRule="auto"/>
              <w:ind/>
              <w:jc w:val="left"/>
              <w:rPr/>
            </w:pPr>
            <w:r>
              <w:rPr>
                <w:rtl w:val="0"/>
              </w:rPr>
              <w:t xml:space="preserve">L’enjeu derrière ces outils est le besoin de bilans harmonisés et exploitables pour mesurer l’impact à la fois quantitatif et qualitatif des actions financées  sur cet appel à projet.</w:t>
            </w:r>
            <w:r/>
          </w:p>
          <w:p>
            <w:pPr>
              <w:pBdr/>
              <w:spacing w:after="0" w:before="0" w:line="240" w:lineRule="auto"/>
              <w:ind/>
              <w:jc w:val="left"/>
              <w:rPr/>
            </w:pPr>
            <w:r>
              <w:rPr>
                <w:rtl w:val="0"/>
              </w:rPr>
              <w:t xml:space="preserve">L’enjeu de cette fiche action est de mesurer, avec la CAF, l’impact de ces nouveaux outils pour une mise à l’échelle.</w:t>
            </w:r>
            <w:r/>
          </w:p>
          <w:p>
            <w:pPr>
              <w:pBdr/>
              <w:spacing w:after="0" w:before="0" w:line="240" w:lineRule="auto"/>
              <w:ind/>
              <w:jc w:val="left"/>
              <w:rPr/>
            </w:pPr>
            <w:r>
              <w:rPr>
                <w:rtl w:val="0"/>
              </w:rPr>
              <w:t xml:space="preserve">Les outils doivent permettre d’isoler ce qui est fait grâce aux financeurs afin d’assurer que les orientations données soient respectées</w:t>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5 - Déployer des solutions de diagnostic d'accompagnement harmonisées et accessibles à tous</w:t>
            </w:r>
            <w:r/>
          </w:p>
          <w:p>
            <w:pPr>
              <w:pBdr/>
              <w:spacing/>
              <w:ind/>
              <w:jc w:val="both"/>
              <w:rPr/>
            </w:pPr>
            <w:r>
              <w:rPr>
                <w:rtl w:val="0"/>
              </w:rPr>
              <w:t xml:space="preserve">6 - Promouvoir collectivement le référentiel europeen de compétences DigComp</w:t>
            </w:r>
            <w:r/>
          </w:p>
          <w:p>
            <w:pPr>
              <w:pBdr/>
              <w:spacing/>
              <w:ind/>
              <w:jc w:val="both"/>
              <w:rPr/>
            </w:pPr>
            <w:r>
              <w:rPr>
                <w:rtl w:val="0"/>
              </w:rPr>
              <w:t xml:space="preserve">14 - Accompagner et former les acteurs territoriaux au pilotage de la politique d'inclusion numérique par la donnée</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3 : Systématiser l'évaluation des capacités numériques autour d'un référentiel commun</w:t>
              <w:br/>
              <w:t xml:space="preserve">Proposition n° 29 : Évaluer de manière régulière les lieux certifiés , en s'appuyant sur un test Pix soumis aux participants des formati</w:t>
            </w:r>
            <w:r>
              <w:rPr>
                <w:rtl w:val="0"/>
              </w:rPr>
              <w:t xml:space="preserve">ons. S'assurer que les ateliers de formation ne dépassent pas un effectif maximal.</w:t>
              <w:tab/>
              <w:t xml:space="preserve">Proposition n° 30 : Former et associer les « guichets » (La Poste, CAF...) au repérage des publics éloignés du numérique. Y systématiser les actions de diagnostic numérique.</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1 : Instituer un Observatoire de l'inclusion numérique chargé d'étudier le phénomène de l'exclusion numérique et de rassembler les données nationales et territoriales disponibles sur le sujet.</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8"/>
              </w:numPr>
              <w:pBdr/>
              <w:spacing w:after="0" w:afterAutospacing="0" w:before="240"/>
              <w:ind w:hanging="360" w:left="720"/>
              <w:rPr>
                <w:rFonts w:ascii="Arial" w:hAnsi="Arial" w:eastAsia="Arial" w:cs="Arial"/>
              </w:rPr>
            </w:pPr>
            <w:r>
              <w:rPr>
                <w:rtl w:val="0"/>
              </w:rPr>
              <w:t xml:space="preserve">Obtenir les données produites par ces nouveaux outils et les retours des </w:t>
              <w:tab/>
              <w:t xml:space="preserve">associations ayant utilisé ces outils</w:t>
            </w:r>
            <w:r>
              <w:rPr>
                <w:rFonts w:ascii="Arial" w:hAnsi="Arial" w:eastAsia="Arial" w:cs="Arial"/>
              </w:rPr>
            </w:r>
            <w:r>
              <w:rPr>
                <w:rFonts w:ascii="Arial" w:hAnsi="Arial" w:eastAsia="Arial" w:cs="Arial"/>
              </w:rPr>
            </w:r>
          </w:p>
          <w:p>
            <w:pPr>
              <w:numPr>
                <w:ilvl w:val="0"/>
                <w:numId w:val="8"/>
              </w:numPr>
              <w:pBdr/>
              <w:spacing w:after="0" w:afterAutospacing="0" w:before="0" w:beforeAutospacing="0"/>
              <w:ind w:hanging="360" w:left="720"/>
              <w:rPr>
                <w:rFonts w:ascii="Arial" w:hAnsi="Arial" w:eastAsia="Arial" w:cs="Arial"/>
              </w:rPr>
            </w:pPr>
            <w:r>
              <w:rPr>
                <w:rtl w:val="0"/>
              </w:rPr>
              <w:t xml:space="preserve">Évaluer </w:t>
              <w:tab/>
              <w:t xml:space="preserve">l’efficacité des outils en fonction des données obtenues</w:t>
            </w:r>
            <w:r>
              <w:rPr>
                <w:rFonts w:ascii="Arial" w:hAnsi="Arial" w:eastAsia="Arial" w:cs="Arial"/>
              </w:rPr>
            </w:r>
            <w:r>
              <w:rPr>
                <w:rFonts w:ascii="Arial" w:hAnsi="Arial" w:eastAsia="Arial" w:cs="Arial"/>
              </w:rPr>
            </w:r>
          </w:p>
          <w:p>
            <w:pPr>
              <w:numPr>
                <w:ilvl w:val="0"/>
                <w:numId w:val="8"/>
              </w:numPr>
              <w:pBdr/>
              <w:spacing w:after="240" w:before="0" w:beforeAutospacing="0"/>
              <w:ind w:hanging="360" w:left="720"/>
              <w:rPr>
                <w:rFonts w:ascii="Arial" w:hAnsi="Arial" w:eastAsia="Arial" w:cs="Arial"/>
              </w:rPr>
            </w:pPr>
            <w:r>
              <w:rPr>
                <w:rtl w:val="0"/>
              </w:rPr>
              <w:t xml:space="preserve">Statuer </w:t>
              <w:tab/>
              <w:t xml:space="preserve">sur leur exploitation à plus grand échelle</w:t>
            </w:r>
            <w:r>
              <w:rPr>
                <w:rFonts w:ascii="Arial" w:hAnsi="Arial" w:eastAsia="Arial" w:cs="Arial"/>
              </w:rPr>
            </w:r>
            <w:r>
              <w:rPr>
                <w:rFonts w:ascii="Arial" w:hAnsi="Arial" w:eastAsia="Arial" w:cs="Arial"/>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firstLine="0" w:left="0"/>
              <w:rPr/>
            </w:pPr>
            <w:r>
              <w:rPr>
                <w:rtl w:val="0"/>
              </w:rPr>
              <w:t xml:space="preserve">Collaboration avec la CAF sur la mesure d’i</w:t>
            </w:r>
            <w:r>
              <w:rPr>
                <w:rtl w:val="0"/>
              </w:rPr>
              <w:t xml:space="preserve">mpact d’actions de médiation numérique. En complément des outils existants tels que la COOP, cette mesure d’impact permet une analyse qualitative des actions de médiation numérique permettant d’évaluer concrètement l’impact sur les compétences des usagers.</w:t>
            </w:r>
            <w:r/>
          </w:p>
          <w:p>
            <w:pPr>
              <w:pBdr/>
              <w:tabs>
                <w:tab w:val="left" w:leader="none" w:pos="0"/>
              </w:tabs>
              <w:spacing w:line="276" w:lineRule="auto"/>
              <w:ind w:firstLine="0" w:left="0"/>
              <w:rPr/>
            </w:pPr>
            <w:r>
              <w:rPr>
                <w:rtl w:val="0"/>
              </w:rPr>
              <w:t xml:space="preserve">Cette analyse qualitative est nécessaire pour évaluer réellement l’impact des actions menées sur la fracture numérique et permet d’obtenir des informations sur le niveau de compétences des usagers nécessitant ces accompagnements.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1"/>
              </w:numPr>
              <w:pBdr/>
              <w:spacing w:after="0" w:afterAutospacing="0" w:before="240"/>
              <w:ind w:hanging="360" w:left="720"/>
              <w:rPr/>
            </w:pPr>
            <w:r>
              <w:rPr>
                <w:rtl w:val="0"/>
              </w:rPr>
              <w:t xml:space="preserve">Valider avec la CAF le process de transmission des données</w:t>
            </w:r>
            <w:r/>
          </w:p>
          <w:p>
            <w:pPr>
              <w:numPr>
                <w:ilvl w:val="0"/>
                <w:numId w:val="1"/>
              </w:numPr>
              <w:pBdr/>
              <w:spacing w:after="0" w:afterAutospacing="0" w:before="0" w:beforeAutospacing="0"/>
              <w:ind w:hanging="360" w:left="720"/>
              <w:rPr>
                <w:u w:val="none"/>
              </w:rPr>
            </w:pPr>
            <w:r>
              <w:rPr>
                <w:rtl w:val="0"/>
              </w:rPr>
              <w:t xml:space="preserve">Récupérer les données lors des bilans annuels CAF</w:t>
            </w:r>
            <w:r>
              <w:rPr>
                <w:u w:val="none"/>
              </w:rPr>
            </w:r>
            <w:r>
              <w:rPr>
                <w:u w:val="none"/>
              </w:rPr>
            </w:r>
          </w:p>
          <w:p>
            <w:pPr>
              <w:numPr>
                <w:ilvl w:val="0"/>
                <w:numId w:val="1"/>
              </w:numPr>
              <w:pBdr/>
              <w:spacing w:after="0" w:afterAutospacing="0" w:before="0" w:beforeAutospacing="0"/>
              <w:ind w:hanging="360" w:left="720"/>
              <w:rPr>
                <w:u w:val="none"/>
              </w:rPr>
            </w:pPr>
            <w:r>
              <w:rPr>
                <w:rtl w:val="0"/>
              </w:rPr>
              <w:t xml:space="preserve">En commun, analyser l’efficacité de ces outils</w:t>
            </w:r>
            <w:r>
              <w:rPr>
                <w:u w:val="none"/>
              </w:rPr>
            </w:r>
            <w:r>
              <w:rPr>
                <w:u w:val="none"/>
              </w:rPr>
            </w:r>
          </w:p>
          <w:p>
            <w:pPr>
              <w:numPr>
                <w:ilvl w:val="0"/>
                <w:numId w:val="1"/>
              </w:numPr>
              <w:pBdr/>
              <w:spacing w:after="0" w:afterAutospacing="0" w:before="0" w:beforeAutospacing="0"/>
              <w:ind w:hanging="360" w:left="720"/>
              <w:rPr>
                <w:u w:val="none"/>
              </w:rPr>
            </w:pPr>
            <w:r>
              <w:rPr>
                <w:rtl w:val="0"/>
              </w:rPr>
              <w:t xml:space="preserve">Statuer sur la marche à suivre</w:t>
            </w:r>
            <w:r>
              <w:rPr>
                <w:u w:val="none"/>
              </w:rPr>
            </w:r>
            <w:r>
              <w:rPr>
                <w:u w:val="none"/>
              </w:rPr>
            </w:r>
          </w:p>
          <w:p>
            <w:pPr>
              <w:numPr>
                <w:ilvl w:val="1"/>
                <w:numId w:val="1"/>
              </w:numPr>
              <w:pBdr/>
              <w:spacing w:after="0" w:afterAutospacing="0" w:before="0" w:beforeAutospacing="0"/>
              <w:ind w:hanging="360" w:left="1440"/>
              <w:rPr>
                <w:u w:val="none"/>
              </w:rPr>
            </w:pPr>
            <w:r>
              <w:rPr>
                <w:rtl w:val="0"/>
              </w:rPr>
              <w:t xml:space="preserve">Outils non pertinents -&gt; évolution</w:t>
            </w:r>
            <w:r>
              <w:rPr>
                <w:u w:val="none"/>
              </w:rPr>
            </w:r>
            <w:r>
              <w:rPr>
                <w:u w:val="none"/>
              </w:rPr>
            </w:r>
          </w:p>
          <w:p>
            <w:pPr>
              <w:numPr>
                <w:ilvl w:val="1"/>
                <w:numId w:val="1"/>
              </w:numPr>
              <w:pBdr/>
              <w:spacing w:after="240" w:before="0" w:beforeAutospacing="0"/>
              <w:ind w:hanging="360" w:left="1440"/>
              <w:rPr>
                <w:u w:val="none"/>
              </w:rPr>
            </w:pPr>
            <w:r>
              <w:rPr>
                <w:rtl w:val="0"/>
              </w:rPr>
              <w:t xml:space="preserve">Outils pertinents -&gt; diffusion</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5"/>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4"/>
              </w:numPr>
              <w:pBdr/>
              <w:spacing w:after="0" w:before="0" w:line="240" w:lineRule="auto"/>
              <w:ind w:hanging="360" w:left="425"/>
              <w:rPr>
                <w:sz w:val="24"/>
                <w:szCs w:val="24"/>
                <w:u w:val="none"/>
              </w:rPr>
            </w:pPr>
            <w:r>
              <w:rPr>
                <w:sz w:val="24"/>
                <w:szCs w:val="24"/>
                <w:rtl w:val="0"/>
              </w:rPr>
              <w:t xml:space="preserve"> DÉBUT: </w:t>
            </w:r>
            <w:r>
              <w:rPr>
                <w:sz w:val="24"/>
                <w:szCs w:val="24"/>
                <w:u w:val="none"/>
              </w:rPr>
            </w:r>
            <w:r>
              <w:rPr>
                <w:sz w:val="24"/>
                <w:szCs w:val="24"/>
                <w:u w:val="none"/>
              </w:rPr>
            </w:r>
          </w:p>
          <w:p>
            <w:pPr>
              <w:pBdr/>
              <w:spacing w:after="0" w:before="0" w:line="240" w:lineRule="auto"/>
              <w:ind/>
              <w:rPr/>
            </w:pPr>
            <w:r>
              <w:rPr>
                <w:sz w:val="24"/>
                <w:szCs w:val="24"/>
                <w:rtl w:val="0"/>
              </w:rPr>
              <w:t xml:space="preserve">         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AAP IN CAF</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Association dans l’AAP IN CAF</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Savoir si les outils développés par HETIS sont pertinents dans le cadre d’actions de médiation numérique et essaimables</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Temps humain CAF et CD83</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X</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X</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Retour des producteurs de données</w:t>
            </w:r>
            <w:r/>
          </w:p>
          <w:p>
            <w:pPr>
              <w:pBdr/>
              <w:spacing w:after="0" w:before="0" w:line="240" w:lineRule="auto"/>
              <w:ind/>
              <w:rPr/>
            </w:pPr>
            <w:r>
              <w:rPr>
                <w:rtl w:val="0"/>
              </w:rPr>
              <w:t xml:space="preserve">Qualité des résultats obtenus (degré de précision, remplissage qualitatif,etc.)</w:t>
            </w:r>
            <w:r/>
          </w:p>
          <w:p>
            <w:pPr>
              <w:pBdr/>
              <w:spacing w:after="0" w:before="0" w:line="240" w:lineRule="auto"/>
              <w:ind/>
              <w:rPr/>
            </w:pPr>
            <w:r>
              <w:rPr>
                <w:rtl w:val="0"/>
              </w:rPr>
              <w:t xml:space="preserve">Exploitabilité des données reçues</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X</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Partage des outils, ou de la méthodologie</w:t>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 Id="rId10"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1</cp:revision>
  <dcterms:modified xsi:type="dcterms:W3CDTF">2025-10-10T09:57:40Z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